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21B31" w14:textId="77777777" w:rsidR="00655219" w:rsidRDefault="00E407EC">
      <w:pPr>
        <w:spacing w:after="119"/>
      </w:pPr>
      <w:r>
        <w:rPr>
          <w:rFonts w:ascii="Arial" w:eastAsia="Arial" w:hAnsi="Arial" w:cs="Arial"/>
          <w:sz w:val="36"/>
        </w:rPr>
        <w:t xml:space="preserve">BSL-2 Biosafety Laboratory Manual Checklist: </w:t>
      </w:r>
    </w:p>
    <w:p w14:paraId="2CD9E7C4" w14:textId="77777777" w:rsidR="00655219" w:rsidRDefault="00E407EC">
      <w:pPr>
        <w:spacing w:after="196" w:line="280" w:lineRule="auto"/>
        <w:jc w:val="both"/>
      </w:pPr>
      <w:r>
        <w:rPr>
          <w:rFonts w:ascii="Arial" w:eastAsia="Arial" w:hAnsi="Arial" w:cs="Arial"/>
          <w:sz w:val="24"/>
        </w:rPr>
        <w:t xml:space="preserve">Each Principal Investigator (PI) in a BSL-2 laboratory must develop and maintain a laboratory-specific Biosafety Laboratory Manual for their lab as required by the </w:t>
      </w:r>
      <w:r>
        <w:rPr>
          <w:rFonts w:ascii="Arial" w:eastAsia="Arial" w:hAnsi="Arial" w:cs="Arial"/>
          <w:i/>
          <w:sz w:val="24"/>
        </w:rPr>
        <w:t>Biosafety in Microbiological and Biomedical Laboratories (BMBL),</w:t>
      </w:r>
      <w:r>
        <w:rPr>
          <w:rFonts w:ascii="Arial" w:eastAsia="Arial" w:hAnsi="Arial" w:cs="Arial"/>
          <w:sz w:val="24"/>
        </w:rPr>
        <w:t xml:space="preserve">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>Edition BL2 laboratory c</w:t>
      </w:r>
      <w:r>
        <w:rPr>
          <w:rFonts w:ascii="Arial" w:eastAsia="Arial" w:hAnsi="Arial" w:cs="Arial"/>
          <w:sz w:val="24"/>
        </w:rPr>
        <w:t>hecklist item B-4.  This Biosafety Laboratory Manual should: 1) contain safety information relevant to the lab’s specific hazards and research materials, 2) serve as a training tool for personnel and include documentation of such training, 3) be readily av</w:t>
      </w:r>
      <w:r>
        <w:rPr>
          <w:rFonts w:ascii="Arial" w:eastAsia="Arial" w:hAnsi="Arial" w:cs="Arial"/>
          <w:sz w:val="24"/>
        </w:rPr>
        <w:t xml:space="preserve">ailable to all research personnel in the lab and 4) be modified as needed to contain current laboratory SOPs and practices. </w:t>
      </w:r>
    </w:p>
    <w:p w14:paraId="3E9D1030" w14:textId="77777777" w:rsidR="00655219" w:rsidRDefault="00E407EC">
      <w:pPr>
        <w:spacing w:after="218"/>
      </w:pPr>
      <w:r>
        <w:rPr>
          <w:rFonts w:ascii="Arial" w:eastAsia="Arial" w:hAnsi="Arial" w:cs="Arial"/>
          <w:b/>
          <w:sz w:val="24"/>
          <w:u w:val="single" w:color="000000"/>
        </w:rPr>
        <w:t>At a minimum, the Biosafety Laboratory Manual should include: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A82CDF1" w14:textId="77777777" w:rsidR="00655219" w:rsidRDefault="00E407E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>Lab contact information (PI name, phone number, including after-hour</w:t>
      </w:r>
      <w:r>
        <w:rPr>
          <w:rFonts w:ascii="Arial" w:eastAsia="Arial" w:hAnsi="Arial" w:cs="Arial"/>
          <w:sz w:val="24"/>
        </w:rPr>
        <w:t>s numbers</w:t>
      </w:r>
      <w:proofErr w:type="gramStart"/>
      <w:r>
        <w:rPr>
          <w:rFonts w:ascii="Arial" w:eastAsia="Arial" w:hAnsi="Arial" w:cs="Arial"/>
          <w:sz w:val="24"/>
        </w:rPr>
        <w:t>);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77235B7B" w14:textId="77777777" w:rsidR="00655219" w:rsidRDefault="00E407EC">
      <w:pPr>
        <w:spacing w:after="0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14:paraId="22798216" w14:textId="77777777" w:rsidR="00655219" w:rsidRDefault="00E407E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Relevant sections of the </w:t>
      </w:r>
      <w:r>
        <w:rPr>
          <w:rFonts w:ascii="Arial" w:eastAsia="Arial" w:hAnsi="Arial" w:cs="Arial"/>
          <w:i/>
          <w:sz w:val="24"/>
        </w:rPr>
        <w:t>Biosafety in Microbiological and Biomedical Laboratories (BMBL),</w:t>
      </w:r>
      <w:r>
        <w:rPr>
          <w:rFonts w:ascii="Arial" w:eastAsia="Arial" w:hAnsi="Arial" w:cs="Arial"/>
          <w:sz w:val="24"/>
        </w:rPr>
        <w:t xml:space="preserve">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>Edition, (e.g. Sections I, II, and III pertaining to standard BSL-1 and BSL-2 practices, Appendix H, pertaining to work with human cells and tissues</w:t>
      </w:r>
      <w:r>
        <w:rPr>
          <w:rFonts w:ascii="Arial" w:eastAsia="Arial" w:hAnsi="Arial" w:cs="Arial"/>
          <w:sz w:val="24"/>
        </w:rPr>
        <w:t xml:space="preserve"> if applicable); </w:t>
      </w:r>
    </w:p>
    <w:p w14:paraId="2A8037F9" w14:textId="77777777" w:rsidR="00655219" w:rsidRDefault="00E407EC">
      <w:pPr>
        <w:spacing w:after="21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13F004DB" w14:textId="77777777" w:rsidR="00655219" w:rsidRDefault="00E407EC">
      <w:pPr>
        <w:spacing w:after="16"/>
        <w:ind w:left="1080"/>
      </w:pPr>
      <w:hyperlink r:id="rId5">
        <w:r>
          <w:rPr>
            <w:rFonts w:ascii="Arial" w:eastAsia="Arial" w:hAnsi="Arial" w:cs="Arial"/>
            <w:color w:val="800080"/>
            <w:sz w:val="24"/>
            <w:u w:val="single" w:color="800080"/>
          </w:rPr>
          <w:t>http://www.cdc.gov/biosafety/publications/bmbl5/index.htm</w:t>
        </w:r>
      </w:hyperlink>
      <w:hyperlink r:id="rId6">
        <w:r>
          <w:rPr>
            <w:rFonts w:ascii="Arial" w:eastAsia="Arial" w:hAnsi="Arial" w:cs="Arial"/>
            <w:sz w:val="24"/>
          </w:rPr>
          <w:t xml:space="preserve"> </w:t>
        </w:r>
      </w:hyperlink>
    </w:p>
    <w:p w14:paraId="79F6FE47" w14:textId="77777777" w:rsidR="00655219" w:rsidRDefault="00E407EC">
      <w:pPr>
        <w:spacing w:after="0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14:paraId="1385D6E4" w14:textId="77777777" w:rsidR="00655219" w:rsidRDefault="00E407EC">
      <w:pPr>
        <w:numPr>
          <w:ilvl w:val="0"/>
          <w:numId w:val="1"/>
        </w:numPr>
        <w:spacing w:after="98" w:line="328" w:lineRule="auto"/>
        <w:ind w:hanging="360"/>
      </w:pPr>
      <w:r>
        <w:rPr>
          <w:rFonts w:ascii="Arial" w:eastAsia="Arial" w:hAnsi="Arial" w:cs="Arial"/>
          <w:sz w:val="24"/>
        </w:rPr>
        <w:t>A list of agents used</w:t>
      </w:r>
      <w:r>
        <w:rPr>
          <w:rFonts w:ascii="Arial" w:eastAsia="Arial" w:hAnsi="Arial" w:cs="Arial"/>
          <w:sz w:val="24"/>
        </w:rPr>
        <w:t xml:space="preserve"> and agent summary statement(s) or MSDS for each agent used in the lab; </w:t>
      </w:r>
      <w:hyperlink r:id="rId7">
        <w:r>
          <w:rPr>
            <w:rFonts w:ascii="Arial" w:eastAsia="Arial" w:hAnsi="Arial" w:cs="Arial"/>
            <w:color w:val="800080"/>
            <w:sz w:val="24"/>
            <w:u w:val="single" w:color="800080"/>
          </w:rPr>
          <w:t>http://www.phac-aspc.gc.ca/lab-bio/res/psds-ftss/index-eng.php</w:t>
        </w:r>
      </w:hyperlink>
      <w:hyperlink r:id="rId8">
        <w:r>
          <w:rPr>
            <w:rFonts w:ascii="Arial" w:eastAsia="Arial" w:hAnsi="Arial" w:cs="Arial"/>
            <w:sz w:val="24"/>
          </w:rPr>
          <w:t xml:space="preserve"> </w:t>
        </w:r>
      </w:hyperlink>
    </w:p>
    <w:p w14:paraId="1091AE4A" w14:textId="77777777" w:rsidR="00655219" w:rsidRDefault="00E407E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Project specific </w:t>
      </w:r>
      <w:proofErr w:type="gramStart"/>
      <w:r>
        <w:rPr>
          <w:rFonts w:ascii="Arial" w:eastAsia="Arial" w:hAnsi="Arial" w:cs="Arial"/>
          <w:sz w:val="24"/>
        </w:rPr>
        <w:t>SOPs;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3FD80EF8" w14:textId="77777777" w:rsidR="00655219" w:rsidRDefault="00E407EC">
      <w:pPr>
        <w:spacing w:after="0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14:paraId="5EC321E0" w14:textId="77777777" w:rsidR="00655219" w:rsidRDefault="00E407E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Laboratory specific biosafety policies, including: </w:t>
      </w:r>
    </w:p>
    <w:p w14:paraId="7EF769C9" w14:textId="77777777" w:rsidR="00655219" w:rsidRDefault="00E407EC">
      <w:pPr>
        <w:numPr>
          <w:ilvl w:val="1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PPE required for working in the </w:t>
      </w:r>
      <w:proofErr w:type="gramStart"/>
      <w:r>
        <w:rPr>
          <w:rFonts w:ascii="Arial" w:eastAsia="Arial" w:hAnsi="Arial" w:cs="Arial"/>
          <w:sz w:val="24"/>
        </w:rPr>
        <w:t>lab;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74A234EF" w14:textId="77777777" w:rsidR="00655219" w:rsidRDefault="00E407EC">
      <w:pPr>
        <w:numPr>
          <w:ilvl w:val="1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Infectious waste disposal procedures for: </w:t>
      </w:r>
    </w:p>
    <w:p w14:paraId="0DD5AAD7" w14:textId="77777777" w:rsidR="00655219" w:rsidRDefault="00E407EC">
      <w:pPr>
        <w:spacing w:after="6" w:line="249" w:lineRule="auto"/>
        <w:ind w:left="2167" w:right="5843" w:firstLine="53"/>
      </w:pPr>
      <w:proofErr w:type="spellStart"/>
      <w:r>
        <w:rPr>
          <w:rFonts w:ascii="Arial" w:eastAsia="Arial" w:hAnsi="Arial" w:cs="Arial"/>
          <w:sz w:val="24"/>
        </w:rPr>
        <w:t>i</w:t>
      </w:r>
      <w:proofErr w:type="spellEnd"/>
      <w:r>
        <w:rPr>
          <w:rFonts w:ascii="Arial" w:eastAsia="Arial" w:hAnsi="Arial" w:cs="Arial"/>
          <w:sz w:val="24"/>
        </w:rPr>
        <w:t xml:space="preserve">. Liquids ii. Sharps </w:t>
      </w:r>
    </w:p>
    <w:p w14:paraId="5907B0E0" w14:textId="77777777" w:rsidR="00655219" w:rsidRDefault="00E407EC">
      <w:pPr>
        <w:numPr>
          <w:ilvl w:val="2"/>
          <w:numId w:val="2"/>
        </w:numPr>
        <w:spacing w:after="6" w:line="249" w:lineRule="auto"/>
        <w:ind w:hanging="420"/>
      </w:pPr>
      <w:r>
        <w:rPr>
          <w:rFonts w:ascii="Arial" w:eastAsia="Arial" w:hAnsi="Arial" w:cs="Arial"/>
          <w:sz w:val="24"/>
        </w:rPr>
        <w:t xml:space="preserve">Solids </w:t>
      </w:r>
    </w:p>
    <w:p w14:paraId="1719791D" w14:textId="77777777" w:rsidR="00655219" w:rsidRDefault="00E407EC">
      <w:pPr>
        <w:numPr>
          <w:ilvl w:val="2"/>
          <w:numId w:val="2"/>
        </w:numPr>
        <w:spacing w:after="6" w:line="249" w:lineRule="auto"/>
        <w:ind w:hanging="420"/>
      </w:pPr>
      <w:r>
        <w:rPr>
          <w:rFonts w:ascii="Arial" w:eastAsia="Arial" w:hAnsi="Arial" w:cs="Arial"/>
          <w:sz w:val="24"/>
        </w:rPr>
        <w:t>Research animals (if applicable</w:t>
      </w:r>
      <w:proofErr w:type="gramStart"/>
      <w:r>
        <w:rPr>
          <w:rFonts w:ascii="Arial" w:eastAsia="Arial" w:hAnsi="Arial" w:cs="Arial"/>
          <w:sz w:val="24"/>
        </w:rPr>
        <w:t>);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47480B0D" w14:textId="77777777" w:rsidR="00655219" w:rsidRDefault="00E407EC">
      <w:pPr>
        <w:numPr>
          <w:ilvl w:val="1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Biohazardous spill clean-up </w:t>
      </w:r>
      <w:proofErr w:type="gramStart"/>
      <w:r>
        <w:rPr>
          <w:rFonts w:ascii="Arial" w:eastAsia="Arial" w:hAnsi="Arial" w:cs="Arial"/>
          <w:sz w:val="24"/>
        </w:rPr>
        <w:t>procedures;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31DCD06F" w14:textId="77777777" w:rsidR="00655219" w:rsidRDefault="00E407EC">
      <w:pPr>
        <w:numPr>
          <w:ilvl w:val="1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Procedures for dealing with </w:t>
      </w:r>
      <w:proofErr w:type="gramStart"/>
      <w:r>
        <w:rPr>
          <w:rFonts w:ascii="Arial" w:eastAsia="Arial" w:hAnsi="Arial" w:cs="Arial"/>
          <w:sz w:val="24"/>
        </w:rPr>
        <w:t>accidents;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7F34FC93" w14:textId="77777777" w:rsidR="00655219" w:rsidRDefault="00E407EC">
      <w:pPr>
        <w:spacing w:after="0"/>
        <w:ind w:left="1800"/>
      </w:pPr>
      <w:r>
        <w:rPr>
          <w:rFonts w:ascii="Arial" w:eastAsia="Arial" w:hAnsi="Arial" w:cs="Arial"/>
          <w:sz w:val="24"/>
        </w:rPr>
        <w:t xml:space="preserve"> </w:t>
      </w:r>
    </w:p>
    <w:p w14:paraId="2ECA93D5" w14:textId="77777777" w:rsidR="00655219" w:rsidRDefault="00E407E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 xml:space="preserve">Copies </w:t>
      </w:r>
      <w:proofErr w:type="gramStart"/>
      <w:r>
        <w:rPr>
          <w:rFonts w:ascii="Arial" w:eastAsia="Arial" w:hAnsi="Arial" w:cs="Arial"/>
          <w:sz w:val="24"/>
        </w:rPr>
        <w:t>of:</w:t>
      </w:r>
      <w:proofErr w:type="gramEnd"/>
      <w:r>
        <w:rPr>
          <w:rFonts w:ascii="Arial" w:eastAsia="Arial" w:hAnsi="Arial" w:cs="Arial"/>
          <w:sz w:val="24"/>
        </w:rPr>
        <w:t xml:space="preserve"> current IBC approval letter; recent laboratory inspection report(s); and Approved personnel memo; </w:t>
      </w:r>
    </w:p>
    <w:p w14:paraId="2C9612BE" w14:textId="77777777" w:rsidR="00655219" w:rsidRDefault="00E407EC">
      <w:pPr>
        <w:spacing w:after="96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1459DDFD" w14:textId="77777777" w:rsidR="00655219" w:rsidRDefault="00E407E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4"/>
        </w:rPr>
        <w:t>Training records for PI and staff (include topic and date of attendance).</w:t>
      </w:r>
      <w:r>
        <w:rPr>
          <w:rFonts w:ascii="Arial" w:eastAsia="Arial" w:hAnsi="Arial" w:cs="Arial"/>
          <w:sz w:val="28"/>
        </w:rPr>
        <w:t xml:space="preserve"> </w:t>
      </w:r>
    </w:p>
    <w:sectPr w:rsidR="00655219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82690"/>
    <w:multiLevelType w:val="hybridMultilevel"/>
    <w:tmpl w:val="2AB86400"/>
    <w:lvl w:ilvl="0" w:tplc="AC42E0C8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8ECE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2DE4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032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4041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A83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2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E8D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866A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E29C3"/>
    <w:multiLevelType w:val="hybridMultilevel"/>
    <w:tmpl w:val="8FF08B96"/>
    <w:lvl w:ilvl="0" w:tplc="8E1EA4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8480E">
      <w:start w:val="1"/>
      <w:numFmt w:val="lowerLetter"/>
      <w:lvlText w:val="%2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0161E">
      <w:start w:val="3"/>
      <w:numFmt w:val="lowerRoman"/>
      <w:lvlText w:val="%3.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2EB2C">
      <w:start w:val="1"/>
      <w:numFmt w:val="decimal"/>
      <w:lvlText w:val="%4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D130">
      <w:start w:val="1"/>
      <w:numFmt w:val="lowerLetter"/>
      <w:lvlText w:val="%5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4FEE">
      <w:start w:val="1"/>
      <w:numFmt w:val="lowerRoman"/>
      <w:lvlText w:val="%6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E50E6">
      <w:start w:val="1"/>
      <w:numFmt w:val="decimal"/>
      <w:lvlText w:val="%7"/>
      <w:lvlJc w:val="left"/>
      <w:pPr>
        <w:ind w:left="5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8A3D8">
      <w:start w:val="1"/>
      <w:numFmt w:val="lowerLetter"/>
      <w:lvlText w:val="%8"/>
      <w:lvlJc w:val="left"/>
      <w:pPr>
        <w:ind w:left="6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699EC">
      <w:start w:val="1"/>
      <w:numFmt w:val="lowerRoman"/>
      <w:lvlText w:val="%9"/>
      <w:lvlJc w:val="left"/>
      <w:pPr>
        <w:ind w:left="6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19"/>
    <w:rsid w:val="00655219"/>
    <w:rsid w:val="00E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53C1"/>
  <w15:docId w15:val="{63D92807-0F58-4D6C-8C08-8135D041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c-aspc.gc.ca/lab-bio/res/psds-ftss/index-eng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ac-aspc.gc.ca/lab-bio/res/psds-ftss/index-en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biosafety/publications/bmbl5/index.htm" TargetMode="External"/><Relationship Id="rId5" Type="http://schemas.openxmlformats.org/officeDocument/2006/relationships/hyperlink" Target="http://www.cdc.gov/biosafety/publications/bmbl5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Willis</dc:creator>
  <cp:keywords/>
  <cp:lastModifiedBy>Lind, Lauren</cp:lastModifiedBy>
  <cp:revision>2</cp:revision>
  <dcterms:created xsi:type="dcterms:W3CDTF">2020-06-09T15:10:00Z</dcterms:created>
  <dcterms:modified xsi:type="dcterms:W3CDTF">2020-06-09T15:10:00Z</dcterms:modified>
</cp:coreProperties>
</file>