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2"/>
      </w:tblGrid>
      <w:tr w:rsidR="008D41B7" w:rsidRPr="00731153" w14:paraId="49D64642" w14:textId="77777777" w:rsidTr="008D41B7">
        <w:trPr>
          <w:jc w:val="center"/>
        </w:trPr>
        <w:tc>
          <w:tcPr>
            <w:tcW w:w="11102" w:type="dxa"/>
            <w:vAlign w:val="center"/>
          </w:tcPr>
          <w:p w14:paraId="61CEA995" w14:textId="77777777" w:rsidR="008D41B7" w:rsidRPr="003F4FBB" w:rsidRDefault="008D41B7" w:rsidP="008D41B7">
            <w:pPr>
              <w:numPr>
                <w:ilvl w:val="0"/>
                <w:numId w:val="3"/>
              </w:numPr>
              <w:tabs>
                <w:tab w:val="left" w:pos="360"/>
              </w:tabs>
              <w:ind w:right="-1800"/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8C1E1E"/>
                <w:szCs w:val="24"/>
              </w:rPr>
              <w:t>Semiannual Facility Inspection Checklist</w:t>
            </w:r>
          </w:p>
          <w:p w14:paraId="504CA912" w14:textId="77777777" w:rsidR="008D41B7" w:rsidRDefault="008D41B7" w:rsidP="00A659FF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sz w:val="21"/>
                <w:szCs w:val="21"/>
              </w:rPr>
            </w:pPr>
          </w:p>
          <w:p w14:paraId="7CA10F56" w14:textId="22CA4150" w:rsidR="008D41B7" w:rsidRPr="00B9592D" w:rsidRDefault="00B9592D" w:rsidP="00B9592D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i/>
                <w:color w:val="8C1E1E"/>
                <w:sz w:val="21"/>
                <w:szCs w:val="21"/>
              </w:rPr>
            </w:pPr>
            <w:r>
              <w:rPr>
                <w:rFonts w:ascii="Verdana" w:hAnsi="Verdana"/>
                <w:b/>
                <w:color w:val="8C1E1E"/>
                <w:sz w:val="21"/>
                <w:szCs w:val="21"/>
              </w:rPr>
              <w:t>Cagewash Area</w:t>
            </w:r>
          </w:p>
        </w:tc>
      </w:tr>
    </w:tbl>
    <w:p w14:paraId="771CC332" w14:textId="2C98FC12" w:rsidR="008D41B7" w:rsidRDefault="008D41B7" w:rsidP="008D41B7"/>
    <w:tbl>
      <w:tblPr>
        <w:tblW w:w="110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8582"/>
        <w:gridCol w:w="432"/>
        <w:gridCol w:w="432"/>
        <w:gridCol w:w="432"/>
        <w:gridCol w:w="432"/>
        <w:gridCol w:w="432"/>
      </w:tblGrid>
      <w:tr w:rsidR="008D41B7" w:rsidRPr="00731153" w14:paraId="5655722E" w14:textId="77777777" w:rsidTr="00A659FF">
        <w:trPr>
          <w:jc w:val="center"/>
        </w:trPr>
        <w:tc>
          <w:tcPr>
            <w:tcW w:w="11089" w:type="dxa"/>
            <w:gridSpan w:val="7"/>
            <w:vAlign w:val="center"/>
          </w:tcPr>
          <w:p w14:paraId="0DECF3E6" w14:textId="77777777" w:rsidR="008D41B7" w:rsidRPr="001A5050" w:rsidRDefault="008D41B7" w:rsidP="00A659FF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color w:val="8C1E1E"/>
                <w:sz w:val="21"/>
                <w:szCs w:val="21"/>
              </w:rPr>
            </w:pPr>
            <w:r w:rsidRPr="001A5050">
              <w:rPr>
                <w:rFonts w:ascii="Verdana" w:hAnsi="Verdana"/>
                <w:b/>
                <w:color w:val="8C1E1E"/>
                <w:sz w:val="21"/>
                <w:szCs w:val="21"/>
              </w:rPr>
              <w:t>Date:</w:t>
            </w:r>
          </w:p>
        </w:tc>
      </w:tr>
      <w:tr w:rsidR="008D41B7" w:rsidRPr="00731153" w14:paraId="4C9FD0F0" w14:textId="77777777" w:rsidTr="00A659FF">
        <w:trPr>
          <w:jc w:val="center"/>
        </w:trPr>
        <w:tc>
          <w:tcPr>
            <w:tcW w:w="11089" w:type="dxa"/>
            <w:gridSpan w:val="7"/>
            <w:vAlign w:val="center"/>
          </w:tcPr>
          <w:p w14:paraId="270A2E52" w14:textId="77777777" w:rsidR="008D41B7" w:rsidRPr="001A5050" w:rsidRDefault="008D41B7" w:rsidP="00A659FF">
            <w:pPr>
              <w:tabs>
                <w:tab w:val="left" w:pos="360"/>
              </w:tabs>
              <w:ind w:right="-1800"/>
              <w:rPr>
                <w:rFonts w:ascii="Verdana" w:hAnsi="Verdana"/>
                <w:b/>
                <w:color w:val="8C1E1E"/>
                <w:sz w:val="21"/>
                <w:szCs w:val="21"/>
              </w:rPr>
            </w:pPr>
            <w:r w:rsidRPr="001A5050">
              <w:rPr>
                <w:rFonts w:ascii="Verdana" w:hAnsi="Verdana"/>
                <w:b/>
                <w:color w:val="8C1E1E"/>
                <w:sz w:val="21"/>
                <w:szCs w:val="21"/>
              </w:rPr>
              <w:t>Location:</w:t>
            </w:r>
          </w:p>
        </w:tc>
      </w:tr>
      <w:tr w:rsidR="008D41B7" w:rsidRPr="00896D5B" w14:paraId="0D9B5B89" w14:textId="77777777" w:rsidTr="00A659FF">
        <w:trPr>
          <w:trHeight w:hRule="exact" w:val="400"/>
          <w:jc w:val="center"/>
        </w:trPr>
        <w:tc>
          <w:tcPr>
            <w:tcW w:w="8929" w:type="dxa"/>
            <w:gridSpan w:val="2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2A1F562A" w14:textId="77777777" w:rsidR="008D41B7" w:rsidRPr="00E97FBC" w:rsidRDefault="008D41B7" w:rsidP="00A659FF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0F394DF8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A</w:t>
            </w:r>
            <w:r w:rsidRPr="00896D5B">
              <w:rPr>
                <w:rFonts w:ascii="Verdana" w:hAnsi="Verdana"/>
                <w:b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2470EC3A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M</w:t>
            </w: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1B232B57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S</w:t>
            </w: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2F4259E9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C</w:t>
            </w:r>
          </w:p>
        </w:tc>
        <w:tc>
          <w:tcPr>
            <w:tcW w:w="432" w:type="dxa"/>
            <w:tcBorders>
              <w:bottom w:val="single" w:sz="2" w:space="0" w:color="948A54"/>
            </w:tcBorders>
            <w:shd w:val="pct5" w:color="auto" w:fill="auto"/>
            <w:vAlign w:val="bottom"/>
          </w:tcPr>
          <w:p w14:paraId="1F80070E" w14:textId="77777777" w:rsidR="008D41B7" w:rsidRPr="00896D5B" w:rsidRDefault="008D41B7" w:rsidP="00A659FF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896D5B">
              <w:rPr>
                <w:rFonts w:ascii="Verdana" w:hAnsi="Verdana"/>
                <w:b/>
                <w:sz w:val="21"/>
                <w:szCs w:val="21"/>
              </w:rPr>
              <w:t>NA</w:t>
            </w:r>
          </w:p>
        </w:tc>
      </w:tr>
      <w:tr w:rsidR="008D41B7" w:rsidRPr="003A42A8" w14:paraId="2D758925" w14:textId="77777777" w:rsidTr="00A659FF">
        <w:trPr>
          <w:jc w:val="center"/>
        </w:trPr>
        <w:tc>
          <w:tcPr>
            <w:tcW w:w="11089" w:type="dxa"/>
            <w:gridSpan w:val="7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C135A22" w14:textId="77777777" w:rsidR="008D41B7" w:rsidRPr="003A42A8" w:rsidRDefault="008D41B7" w:rsidP="008D41B7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9"/>
                <w:szCs w:val="19"/>
              </w:rPr>
            </w:pPr>
            <w:r w:rsidRPr="003A42A8">
              <w:rPr>
                <w:rFonts w:ascii="Verdana" w:hAnsi="Verdana"/>
                <w:b/>
                <w:sz w:val="19"/>
                <w:szCs w:val="19"/>
              </w:rPr>
              <w:t>Construction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and Operation</w:t>
            </w:r>
            <w:r w:rsidRPr="003A42A8">
              <w:rPr>
                <w:rFonts w:ascii="Verdana" w:hAnsi="Verdana"/>
                <w:b/>
                <w:sz w:val="19"/>
                <w:szCs w:val="19"/>
              </w:rPr>
              <w:t xml:space="preserve">: </w:t>
            </w:r>
          </w:p>
        </w:tc>
      </w:tr>
      <w:tr w:rsidR="008D41B7" w:rsidRPr="00731153" w14:paraId="7AA9CB0D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11B0C2A" w14:textId="77777777" w:rsidR="008D41B7" w:rsidRPr="0033701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dedicated central area for sanitizing cages and equipment is provided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7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143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5AE51D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B859F5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03F5D7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9F2992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AE9E95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60FBA32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EDFBC1D" w14:textId="77777777" w:rsidR="008D41B7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cage-washing equipment meets need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8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143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840914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01159F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4B4E2B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A69A6A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22AFBE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D51A203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466D6BE" w14:textId="77777777" w:rsidR="008D41B7" w:rsidRPr="00756B03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eastAsia="Calibri" w:hAnsi="Verdana"/>
                <w:sz w:val="19"/>
                <w:szCs w:val="19"/>
              </w:rPr>
            </w:pPr>
            <w:r w:rsidRPr="0033701C">
              <w:rPr>
                <w:rFonts w:ascii="Verdana" w:hAnsi="Verdana"/>
                <w:sz w:val="19"/>
                <w:szCs w:val="19"/>
              </w:rPr>
              <w:t>doors, windows, floors, drainage, walls, ceilings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9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pp 136-138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8493B4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C73B6D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E39F16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FEDF49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6CC792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1DD0FB60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FC15828" w14:textId="77777777" w:rsidR="008D41B7" w:rsidRPr="00BD4D29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33701C">
              <w:rPr>
                <w:rFonts w:ascii="Verdana" w:hAnsi="Verdana"/>
                <w:sz w:val="19"/>
                <w:szCs w:val="19"/>
              </w:rPr>
              <w:t>convenient to animal areas/waste disposal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0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143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75FD52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28195E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060C39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B3D522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A8650A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6DBAF6DC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5484A25" w14:textId="77777777" w:rsidR="008D41B7" w:rsidRPr="00FE0B8A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33701C">
              <w:rPr>
                <w:rFonts w:ascii="Verdana" w:hAnsi="Verdana"/>
                <w:sz w:val="19"/>
                <w:szCs w:val="19"/>
              </w:rPr>
              <w:t>ease of access (including door size) facilitates use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1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143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151571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886EBB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B0CB32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141AE7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FCE05A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E6C7B1B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89D3C0D" w14:textId="77777777" w:rsidR="008D41B7" w:rsidRPr="0033701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proofErr w:type="gramStart"/>
            <w:r w:rsidRPr="0033701C">
              <w:rPr>
                <w:rFonts w:ascii="Verdana" w:hAnsi="Verdana"/>
                <w:sz w:val="19"/>
                <w:szCs w:val="19"/>
              </w:rPr>
              <w:t>sufficient</w:t>
            </w:r>
            <w:proofErr w:type="gramEnd"/>
            <w:r w:rsidRPr="0033701C">
              <w:rPr>
                <w:rFonts w:ascii="Verdana" w:hAnsi="Verdana"/>
                <w:sz w:val="19"/>
                <w:szCs w:val="19"/>
              </w:rPr>
              <w:t xml:space="preserve"> space for </w:t>
            </w:r>
            <w:r>
              <w:rPr>
                <w:rFonts w:ascii="Verdana" w:hAnsi="Verdana"/>
                <w:sz w:val="19"/>
                <w:szCs w:val="19"/>
              </w:rPr>
              <w:t>staging and maneuvering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2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143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315886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C1DB9E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B724D8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B16219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B148CD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A618133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2BBBAF0" w14:textId="77777777" w:rsidR="008D41B7" w:rsidRPr="0033701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 xml:space="preserve">safety precautions/clothing/equipment used for </w:t>
            </w:r>
            <w:r>
              <w:rPr>
                <w:rFonts w:ascii="Verdana" w:hAnsi="Verdana"/>
                <w:sz w:val="19"/>
                <w:szCs w:val="19"/>
              </w:rPr>
              <w:t xml:space="preserve">waste </w:t>
            </w:r>
            <w:r w:rsidRPr="00FF46EC">
              <w:rPr>
                <w:rFonts w:ascii="Verdana" w:hAnsi="Verdana"/>
                <w:sz w:val="19"/>
                <w:szCs w:val="19"/>
              </w:rPr>
              <w:t>disposal/prewash/acid wash</w:t>
            </w:r>
            <w:r>
              <w:rPr>
                <w:rFonts w:ascii="Verdana" w:hAnsi="Verdana"/>
                <w:sz w:val="19"/>
                <w:szCs w:val="19"/>
              </w:rPr>
              <w:t xml:space="preserve"> ((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3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143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6FF540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C47EF1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EABBE3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DADFA2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663B69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0FCA666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9A6450A" w14:textId="77777777" w:rsidR="008D41B7" w:rsidRPr="0033701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traffic flow clean to dirty with no contamination of clean equipment by dirty equipment</w:t>
            </w:r>
            <w:r>
              <w:rPr>
                <w:rFonts w:ascii="Verdana" w:hAnsi="Verdana"/>
                <w:sz w:val="19"/>
                <w:szCs w:val="19"/>
              </w:rPr>
              <w:t xml:space="preserve"> and appropriate air pressurization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4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143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AB35D5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E116C4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D73180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36D047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851B0E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4DA421D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7886309" w14:textId="77777777" w:rsidR="008D41B7" w:rsidRPr="00BD4D29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insulation and/or sound attenuation present as needed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5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143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64C0AC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E46BBE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AA3629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908F963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8544B5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D36CAFC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427044A" w14:textId="77777777" w:rsidR="008D41B7" w:rsidRPr="0033701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utilities are appropriate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6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143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7DC55B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AD1F8B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4407CF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90812A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5C0B6E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269790D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A160F92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163471">
              <w:rPr>
                <w:rFonts w:ascii="Verdana" w:hAnsi="Verdana"/>
                <w:sz w:val="19"/>
                <w:szCs w:val="19"/>
              </w:rPr>
              <w:t>ventilation meets heat and humidity load (</w:t>
            </w:r>
            <w:r w:rsidRPr="00163471">
              <w:rPr>
                <w:rFonts w:ascii="Verdana" w:hAnsi="Verdana"/>
                <w:i/>
                <w:sz w:val="19"/>
                <w:szCs w:val="19"/>
              </w:rPr>
              <w:t>Guide</w:t>
            </w:r>
            <w:r w:rsidRPr="00163471"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7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143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B602EC6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3EF60DC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163A66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6F26B2B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D06369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5A67D02E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355D019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safety features (e.g., SOPs, warning signs, eyewash stations) are in use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8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143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E1D29F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FDFF598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DDDB4A4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D67CB0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1E5728A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4BA775DD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5BAA4975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functioning safety devices to prevent entrapment in washer/sterilizers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19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143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ED0E8B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F7BAA5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66419AF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DE423F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3444BA2F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73B15AD3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261827D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cage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F46EC">
              <w:rPr>
                <w:rFonts w:ascii="Verdana" w:hAnsi="Verdana"/>
                <w:sz w:val="19"/>
                <w:szCs w:val="19"/>
              </w:rPr>
              <w:t xml:space="preserve">wash temperatures are </w:t>
            </w:r>
            <w:proofErr w:type="gramStart"/>
            <w:r w:rsidRPr="00FF46EC">
              <w:rPr>
                <w:rFonts w:ascii="Verdana" w:hAnsi="Verdana"/>
                <w:sz w:val="19"/>
                <w:szCs w:val="19"/>
              </w:rPr>
              <w:t>monitored</w:t>
            </w:r>
            <w:proofErr w:type="gramEnd"/>
            <w:r w:rsidRPr="00FF46EC">
              <w:rPr>
                <w:rFonts w:ascii="Verdana" w:hAnsi="Verdana"/>
                <w:sz w:val="19"/>
                <w:szCs w:val="19"/>
              </w:rPr>
              <w:t xml:space="preserve"> and records are available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0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73</w:t>
              </w:r>
            </w:hyperlink>
            <w:r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1D7E222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20AFB67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A5BA27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1873A4FE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78D52E1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05504678" w14:textId="77777777" w:rsidTr="00A659FF">
        <w:trPr>
          <w:jc w:val="center"/>
        </w:trPr>
        <w:tc>
          <w:tcPr>
            <w:tcW w:w="8929" w:type="dxa"/>
            <w:gridSpan w:val="2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5F64FBA" w14:textId="77777777" w:rsidR="008D41B7" w:rsidRPr="00FF46EC" w:rsidRDefault="008D41B7" w:rsidP="008D41B7">
            <w:pPr>
              <w:numPr>
                <w:ilvl w:val="1"/>
                <w:numId w:val="4"/>
              </w:numPr>
              <w:tabs>
                <w:tab w:val="left" w:pos="360"/>
              </w:tabs>
              <w:rPr>
                <w:rFonts w:ascii="Verdana" w:hAnsi="Verdana"/>
                <w:sz w:val="19"/>
                <w:szCs w:val="19"/>
              </w:rPr>
            </w:pPr>
            <w:r w:rsidRPr="00FF46EC">
              <w:rPr>
                <w:rFonts w:ascii="Verdana" w:hAnsi="Verdana"/>
                <w:sz w:val="19"/>
                <w:szCs w:val="19"/>
              </w:rPr>
              <w:t>appropriate clean cage storage</w:t>
            </w:r>
            <w:r>
              <w:rPr>
                <w:rFonts w:ascii="Verdana" w:hAnsi="Verdana"/>
                <w:sz w:val="19"/>
                <w:szCs w:val="19"/>
              </w:rPr>
              <w:t xml:space="preserve"> (</w:t>
            </w:r>
            <w:r w:rsidRPr="005D545A">
              <w:rPr>
                <w:rFonts w:ascii="Verdana" w:hAnsi="Verdana"/>
                <w:i/>
                <w:sz w:val="19"/>
                <w:szCs w:val="19"/>
              </w:rPr>
              <w:t>Guide</w:t>
            </w:r>
            <w:r>
              <w:rPr>
                <w:rFonts w:ascii="Verdana" w:hAnsi="Verdana"/>
                <w:sz w:val="19"/>
                <w:szCs w:val="19"/>
              </w:rPr>
              <w:t xml:space="preserve">, </w:t>
            </w:r>
            <w:hyperlink r:id="rId21" w:history="1">
              <w:r w:rsidRPr="00163471">
                <w:rPr>
                  <w:rStyle w:val="Hyperlink"/>
                  <w:rFonts w:ascii="Verdana" w:eastAsiaTheme="majorEastAsia" w:hAnsi="Verdana"/>
                  <w:sz w:val="19"/>
                  <w:szCs w:val="19"/>
                </w:rPr>
                <w:t>p 141</w:t>
              </w:r>
            </w:hyperlink>
            <w:r w:rsidRPr="00163471">
              <w:rPr>
                <w:rFonts w:ascii="Verdana" w:hAnsi="Verdana"/>
                <w:sz w:val="19"/>
                <w:szCs w:val="19"/>
              </w:rPr>
              <w:t>)</w:t>
            </w: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055D952D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7230838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A3314B5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24AE3A00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2" w:space="0" w:color="948A54"/>
              <w:left w:val="single" w:sz="2" w:space="0" w:color="948A54"/>
              <w:bottom w:val="single" w:sz="2" w:space="0" w:color="948A54"/>
              <w:right w:val="single" w:sz="2" w:space="0" w:color="948A54"/>
            </w:tcBorders>
            <w:vAlign w:val="bottom"/>
          </w:tcPr>
          <w:p w14:paraId="4AF3C819" w14:textId="77777777" w:rsidR="008D41B7" w:rsidRPr="00731153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2A0A0F4A" w14:textId="77777777" w:rsidTr="00A659FF">
        <w:trPr>
          <w:jc w:val="center"/>
        </w:trPr>
        <w:tc>
          <w:tcPr>
            <w:tcW w:w="347" w:type="dxa"/>
            <w:tcBorders>
              <w:top w:val="single" w:sz="2" w:space="0" w:color="948A54"/>
            </w:tcBorders>
            <w:vAlign w:val="bottom"/>
          </w:tcPr>
          <w:p w14:paraId="73AC25D5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  <w:r w:rsidRPr="008741E7">
              <w:rPr>
                <w:rFonts w:ascii="Verdana" w:hAnsi="Verdana"/>
                <w:sz w:val="17"/>
                <w:szCs w:val="17"/>
              </w:rPr>
              <w:t xml:space="preserve"> *</w:t>
            </w:r>
          </w:p>
        </w:tc>
        <w:tc>
          <w:tcPr>
            <w:tcW w:w="10742" w:type="dxa"/>
            <w:gridSpan w:val="6"/>
            <w:tcBorders>
              <w:top w:val="single" w:sz="2" w:space="0" w:color="948A54"/>
            </w:tcBorders>
            <w:vAlign w:val="bottom"/>
          </w:tcPr>
          <w:p w14:paraId="2E345E15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8741E7">
              <w:rPr>
                <w:rFonts w:ascii="Verdana" w:hAnsi="Verdana"/>
                <w:b/>
                <w:sz w:val="17"/>
                <w:szCs w:val="17"/>
              </w:rPr>
              <w:t>A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acceptable</w:t>
            </w:r>
          </w:p>
        </w:tc>
      </w:tr>
      <w:tr w:rsidR="008D41B7" w:rsidRPr="00731153" w14:paraId="4750FAED" w14:textId="77777777" w:rsidTr="00A659FF">
        <w:trPr>
          <w:jc w:val="center"/>
        </w:trPr>
        <w:tc>
          <w:tcPr>
            <w:tcW w:w="347" w:type="dxa"/>
            <w:vAlign w:val="bottom"/>
          </w:tcPr>
          <w:p w14:paraId="5EF9648B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742" w:type="dxa"/>
            <w:gridSpan w:val="6"/>
            <w:vAlign w:val="bottom"/>
          </w:tcPr>
          <w:p w14:paraId="20932075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8741E7">
              <w:rPr>
                <w:rFonts w:ascii="Verdana" w:hAnsi="Verdana"/>
                <w:b/>
                <w:sz w:val="17"/>
                <w:szCs w:val="17"/>
              </w:rPr>
              <w:t>M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minor deficiency</w:t>
            </w:r>
          </w:p>
        </w:tc>
      </w:tr>
      <w:tr w:rsidR="008D41B7" w:rsidRPr="00731153" w14:paraId="4C9C033F" w14:textId="77777777" w:rsidTr="00A659FF">
        <w:trPr>
          <w:jc w:val="center"/>
        </w:trPr>
        <w:tc>
          <w:tcPr>
            <w:tcW w:w="347" w:type="dxa"/>
            <w:vAlign w:val="bottom"/>
          </w:tcPr>
          <w:p w14:paraId="08B72873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742" w:type="dxa"/>
            <w:gridSpan w:val="6"/>
            <w:vAlign w:val="bottom"/>
          </w:tcPr>
          <w:p w14:paraId="759768CA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740079">
              <w:rPr>
                <w:rFonts w:ascii="Verdana" w:hAnsi="Verdana"/>
                <w:b/>
                <w:sz w:val="17"/>
                <w:szCs w:val="17"/>
              </w:rPr>
              <w:t>S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significant deficiency (is or may be a threat to animal health or safety)</w:t>
            </w:r>
          </w:p>
        </w:tc>
      </w:tr>
      <w:tr w:rsidR="008D41B7" w:rsidRPr="00731153" w14:paraId="219BDD71" w14:textId="77777777" w:rsidTr="00A659FF">
        <w:trPr>
          <w:jc w:val="center"/>
        </w:trPr>
        <w:tc>
          <w:tcPr>
            <w:tcW w:w="347" w:type="dxa"/>
            <w:vAlign w:val="bottom"/>
          </w:tcPr>
          <w:p w14:paraId="18355717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742" w:type="dxa"/>
            <w:gridSpan w:val="6"/>
            <w:vAlign w:val="bottom"/>
          </w:tcPr>
          <w:p w14:paraId="515AC09B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740079">
              <w:rPr>
                <w:rFonts w:ascii="Verdana" w:hAnsi="Verdana"/>
                <w:b/>
                <w:sz w:val="17"/>
                <w:szCs w:val="17"/>
              </w:rPr>
              <w:t>C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 xml:space="preserve">= change in program </w:t>
            </w:r>
            <w:r w:rsidRPr="00BA391D">
              <w:rPr>
                <w:rFonts w:ascii="Verdana" w:hAnsi="Verdana"/>
                <w:sz w:val="17"/>
                <w:szCs w:val="17"/>
              </w:rPr>
              <w:t xml:space="preserve">(PHS Policy </w:t>
            </w:r>
            <w:hyperlink r:id="rId22" w:anchor="AnimalWelfareAssurance" w:history="1">
              <w:r w:rsidRPr="00BA391D">
                <w:rPr>
                  <w:rStyle w:val="Hyperlink"/>
                  <w:rFonts w:ascii="Verdana" w:eastAsiaTheme="majorEastAsia" w:hAnsi="Verdana"/>
                  <w:sz w:val="17"/>
                  <w:szCs w:val="17"/>
                </w:rPr>
                <w:t>IV.A.1.a.-i.</w:t>
              </w:r>
            </w:hyperlink>
            <w:r w:rsidRPr="00BA391D">
              <w:rPr>
                <w:rFonts w:ascii="Verdana" w:hAnsi="Verdana"/>
                <w:sz w:val="17"/>
                <w:szCs w:val="17"/>
              </w:rPr>
              <w:t>)</w:t>
            </w:r>
            <w:r w:rsidRPr="00F936CB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(include in semiannual report to IO and in annual report to OLAW</w:t>
            </w:r>
            <w:r>
              <w:rPr>
                <w:rFonts w:ascii="Verdana" w:hAnsi="Verdana"/>
                <w:sz w:val="17"/>
                <w:szCs w:val="17"/>
              </w:rPr>
              <w:t>)</w:t>
            </w:r>
          </w:p>
        </w:tc>
      </w:tr>
      <w:tr w:rsidR="008D41B7" w:rsidRPr="00731153" w14:paraId="783EE98F" w14:textId="77777777" w:rsidTr="00A659FF">
        <w:trPr>
          <w:jc w:val="center"/>
        </w:trPr>
        <w:tc>
          <w:tcPr>
            <w:tcW w:w="347" w:type="dxa"/>
            <w:vAlign w:val="bottom"/>
          </w:tcPr>
          <w:p w14:paraId="738AF770" w14:textId="77777777" w:rsidR="008D41B7" w:rsidRPr="008741E7" w:rsidRDefault="008D41B7" w:rsidP="00A659FF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0742" w:type="dxa"/>
            <w:gridSpan w:val="6"/>
            <w:vAlign w:val="bottom"/>
          </w:tcPr>
          <w:p w14:paraId="35437727" w14:textId="77777777" w:rsidR="008D41B7" w:rsidRPr="00101A39" w:rsidRDefault="008D41B7" w:rsidP="00A659FF">
            <w:pPr>
              <w:rPr>
                <w:rFonts w:ascii="Verdana" w:hAnsi="Verdana"/>
                <w:b/>
                <w:sz w:val="17"/>
                <w:szCs w:val="17"/>
              </w:rPr>
            </w:pPr>
            <w:r w:rsidRPr="00740079">
              <w:rPr>
                <w:rFonts w:ascii="Verdana" w:hAnsi="Verdana"/>
                <w:b/>
                <w:sz w:val="17"/>
                <w:szCs w:val="17"/>
              </w:rPr>
              <w:t>NA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not applicable</w:t>
            </w:r>
          </w:p>
        </w:tc>
      </w:tr>
      <w:tr w:rsidR="008D41B7" w:rsidRPr="00731153" w14:paraId="420E1679" w14:textId="77777777" w:rsidTr="00A659FF">
        <w:trPr>
          <w:trHeight w:val="432"/>
          <w:jc w:val="center"/>
        </w:trPr>
        <w:tc>
          <w:tcPr>
            <w:tcW w:w="11089" w:type="dxa"/>
            <w:gridSpan w:val="7"/>
          </w:tcPr>
          <w:p w14:paraId="2092FD5A" w14:textId="77777777" w:rsidR="008D41B7" w:rsidRDefault="008D41B7" w:rsidP="00A659FF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8D41B7" w:rsidRPr="00731153" w14:paraId="3D68E85B" w14:textId="77777777" w:rsidTr="00A659FF">
        <w:trPr>
          <w:trHeight w:val="216"/>
          <w:jc w:val="center"/>
        </w:trPr>
        <w:tc>
          <w:tcPr>
            <w:tcW w:w="11089" w:type="dxa"/>
            <w:gridSpan w:val="7"/>
          </w:tcPr>
          <w:p w14:paraId="31810350" w14:textId="77777777" w:rsidR="008D41B7" w:rsidRPr="002A6DDF" w:rsidRDefault="008D41B7" w:rsidP="00A659FF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2A6DDF">
              <w:rPr>
                <w:rFonts w:ascii="Verdana" w:hAnsi="Verdana"/>
                <w:b/>
                <w:sz w:val="19"/>
                <w:szCs w:val="19"/>
              </w:rPr>
              <w:t>NOTES:</w:t>
            </w:r>
          </w:p>
        </w:tc>
      </w:tr>
    </w:tbl>
    <w:p w14:paraId="7CA6D228" w14:textId="77777777" w:rsidR="008D41B7" w:rsidRDefault="008D41B7" w:rsidP="008D41B7">
      <w:pPr>
        <w:overflowPunct/>
        <w:autoSpaceDE/>
        <w:autoSpaceDN/>
        <w:adjustRightInd/>
        <w:spacing w:after="200" w:line="276" w:lineRule="auto"/>
        <w:textAlignment w:val="auto"/>
      </w:pPr>
    </w:p>
    <w:p w14:paraId="26D94656" w14:textId="1489D92C" w:rsidR="008D41B7" w:rsidRDefault="008D41B7" w:rsidP="008D41B7">
      <w:pPr>
        <w:overflowPunct/>
        <w:autoSpaceDE/>
        <w:autoSpaceDN/>
        <w:adjustRightInd/>
        <w:textAlignment w:val="auto"/>
      </w:pPr>
      <w:bookmarkStart w:id="0" w:name="_GoBack"/>
      <w:bookmarkEnd w:id="0"/>
    </w:p>
    <w:sectPr w:rsidR="008D41B7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AF7EF" w14:textId="77777777" w:rsidR="008D41B7" w:rsidRDefault="008D41B7" w:rsidP="008D41B7">
      <w:r>
        <w:separator/>
      </w:r>
    </w:p>
  </w:endnote>
  <w:endnote w:type="continuationSeparator" w:id="0">
    <w:p w14:paraId="5827CC03" w14:textId="77777777" w:rsidR="008D41B7" w:rsidRDefault="008D41B7" w:rsidP="008D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9797" w14:textId="77777777" w:rsidR="008D41B7" w:rsidRDefault="008D41B7" w:rsidP="008D41B7">
      <w:r>
        <w:separator/>
      </w:r>
    </w:p>
  </w:footnote>
  <w:footnote w:type="continuationSeparator" w:id="0">
    <w:p w14:paraId="669E3A8C" w14:textId="77777777" w:rsidR="008D41B7" w:rsidRDefault="008D41B7" w:rsidP="008D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3A3D" w14:textId="68AD93A6" w:rsidR="008D41B7" w:rsidRPr="008D41B7" w:rsidRDefault="008D41B7" w:rsidP="008D41B7">
    <w:pPr>
      <w:pStyle w:val="Header"/>
    </w:pPr>
    <w:r>
      <w:rPr>
        <w:noProof/>
      </w:rPr>
      <w:drawing>
        <wp:inline distT="0" distB="0" distL="0" distR="0" wp14:anchorId="660646C1" wp14:editId="19D55932">
          <wp:extent cx="1619250" cy="525424"/>
          <wp:effectExtent l="0" t="0" r="0" b="8255"/>
          <wp:docPr id="13" name="Picture 13" descr="https://imagegallery.tamucc.edu/assets/logos-new-jpg/tamucc_logo_300_ho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ttps://imagegallery.tamucc.edu/assets/logos-new-jpg/tamucc_logo_300_ho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7" cy="529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25D"/>
    <w:multiLevelType w:val="hybridMultilevel"/>
    <w:tmpl w:val="606A5D80"/>
    <w:lvl w:ilvl="0" w:tplc="5C6AB6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997128"/>
    <w:multiLevelType w:val="hybridMultilevel"/>
    <w:tmpl w:val="D2907738"/>
    <w:lvl w:ilvl="0" w:tplc="F25445B0">
      <w:start w:val="1"/>
      <w:numFmt w:val="upperRoman"/>
      <w:lvlText w:val="%1."/>
      <w:lvlJc w:val="left"/>
      <w:pPr>
        <w:ind w:left="720" w:hanging="720"/>
      </w:pPr>
      <w:rPr>
        <w:rFonts w:hint="default"/>
        <w:color w:val="8C1E1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FA25B9"/>
    <w:multiLevelType w:val="hybridMultilevel"/>
    <w:tmpl w:val="A002F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223A0"/>
    <w:multiLevelType w:val="hybridMultilevel"/>
    <w:tmpl w:val="B28E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B7"/>
    <w:rsid w:val="002659A0"/>
    <w:rsid w:val="004C0DB2"/>
    <w:rsid w:val="008D41B7"/>
    <w:rsid w:val="00B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430D"/>
  <w15:chartTrackingRefBased/>
  <w15:docId w15:val="{D3C5A875-BF1E-4BC3-B0C6-76293D0B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1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4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41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41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41B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character" w:styleId="Hyperlink">
    <w:name w:val="Hyperlink"/>
    <w:uiPriority w:val="99"/>
    <w:unhideWhenUsed/>
    <w:rsid w:val="008D41B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8D41B7"/>
    <w:pPr>
      <w:tabs>
        <w:tab w:val="left" w:pos="10980"/>
      </w:tabs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41B7"/>
    <w:rPr>
      <w:rFonts w:ascii="Times" w:eastAsia="Times New Roman" w:hAnsi="Times" w:cs="Times New Roman"/>
      <w:sz w:val="20"/>
      <w:szCs w:val="20"/>
    </w:rPr>
  </w:style>
  <w:style w:type="character" w:styleId="EndnoteReference">
    <w:name w:val="endnote reference"/>
    <w:semiHidden/>
    <w:rsid w:val="008D41B7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41B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1B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B7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D4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B7"/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uiPriority w:val="99"/>
    <w:semiHidden/>
    <w:unhideWhenUsed/>
    <w:rsid w:val="008D41B7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qFormat/>
    <w:rsid w:val="008D41B7"/>
    <w:pPr>
      <w:widowControl w:val="0"/>
      <w:overflowPunct/>
      <w:adjustRightInd/>
      <w:textAlignment w:val="auto"/>
    </w:pPr>
    <w:rPr>
      <w:rFonts w:ascii="Cambria" w:eastAsia="Cambria" w:hAnsi="Cambria" w:cs="Cambria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D41B7"/>
    <w:rPr>
      <w:rFonts w:ascii="Cambria" w:eastAsia="Cambria" w:hAnsi="Cambria" w:cs="Cambria"/>
      <w:sz w:val="20"/>
      <w:szCs w:val="20"/>
    </w:rPr>
  </w:style>
  <w:style w:type="paragraph" w:customStyle="1" w:styleId="Default">
    <w:name w:val="Default"/>
    <w:rsid w:val="008D41B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edu/openbook.php?record_id=12910&amp;page=143" TargetMode="External"/><Relationship Id="rId13" Type="http://schemas.openxmlformats.org/officeDocument/2006/relationships/hyperlink" Target="http://www.nap.edu/openbook.php?record_id=12910&amp;page=143" TargetMode="External"/><Relationship Id="rId18" Type="http://schemas.openxmlformats.org/officeDocument/2006/relationships/hyperlink" Target="http://www.nap.edu/openbook.php?record_id=12910&amp;page=1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ap.edu/openbook.php?record_id=12910&amp;page=141" TargetMode="External"/><Relationship Id="rId7" Type="http://schemas.openxmlformats.org/officeDocument/2006/relationships/hyperlink" Target="http://www.nap.edu/openbook.php?record_id=12910&amp;page=143" TargetMode="External"/><Relationship Id="rId12" Type="http://schemas.openxmlformats.org/officeDocument/2006/relationships/hyperlink" Target="http://www.nap.edu/openbook.php?record_id=12910&amp;page=143" TargetMode="External"/><Relationship Id="rId17" Type="http://schemas.openxmlformats.org/officeDocument/2006/relationships/hyperlink" Target="http://www.nap.edu/openbook.php?record_id=12910&amp;page=14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ap.edu/openbook.php?record_id=12910&amp;page=143" TargetMode="External"/><Relationship Id="rId20" Type="http://schemas.openxmlformats.org/officeDocument/2006/relationships/hyperlink" Target="http://www.nap.edu/openbook.php?record_id=12910&amp;page=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p.edu/openbook.php?record_id=12910&amp;page=14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ap.edu/openbook.php?record_id=12910&amp;page=143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nap.edu/openbook.php?record_id=12910&amp;page=143" TargetMode="External"/><Relationship Id="rId19" Type="http://schemas.openxmlformats.org/officeDocument/2006/relationships/hyperlink" Target="http://www.nap.edu/openbook.php?record_id=12910&amp;page=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p.edu/openbook.php?record_id=12910&amp;page=136" TargetMode="External"/><Relationship Id="rId14" Type="http://schemas.openxmlformats.org/officeDocument/2006/relationships/hyperlink" Target="http://www.nap.edu/openbook.php?record_id=12910&amp;page=143" TargetMode="External"/><Relationship Id="rId22" Type="http://schemas.openxmlformats.org/officeDocument/2006/relationships/hyperlink" Target="http://grants.nih.gov/grants/olaw/references/phspol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Ballard, Rebecca</dc:creator>
  <cp:keywords/>
  <dc:description/>
  <cp:lastModifiedBy>Ballard, Rebecca</cp:lastModifiedBy>
  <cp:revision>3</cp:revision>
  <dcterms:created xsi:type="dcterms:W3CDTF">2019-01-09T16:06:00Z</dcterms:created>
  <dcterms:modified xsi:type="dcterms:W3CDTF">2019-01-09T16:08:00Z</dcterms:modified>
</cp:coreProperties>
</file>